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B42F64" w:rsidP="00DC641B">
            <w:pPr>
              <w:spacing w:before="120" w:after="120"/>
            </w:pPr>
            <w:r>
              <w:t xml:space="preserve">ΑΝΤΕΓΚΛΗΜΑΤΙΚΗ ΠΟΛΙΤΙΚΗ ΚΑΙ ΠΑΓΚΟΣΜΙΟΠΟΙΗΣΗ </w:t>
            </w:r>
            <w:r w:rsidR="008314A6">
              <w:t xml:space="preserve">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B42F64" w:rsidP="00DB4C15">
            <w:pPr>
              <w:spacing w:before="120" w:after="120"/>
            </w:pPr>
            <w:r>
              <w:t xml:space="preserve">ΣΤ1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Default="00193894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ΓΡΑΠΤΕΣ ΕΞΕΤΑΣΕΙΣ ΜΕ ΦΥΣΙΚΗ ΠΑΡΟΥΣΙΑ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140F3" w:rsidRPr="00193894" w:rsidRDefault="00193894" w:rsidP="0019389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Η 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ξέταση του μαθήματος θα πραγματοποιηθεί στις  </w:t>
            </w:r>
            <w:r w:rsidR="00E33636">
              <w:rPr>
                <w:rFonts w:ascii="Times New Roman" w:eastAsia="Times New Roman" w:hAnsi="Times New Roman"/>
                <w:sz w:val="24"/>
                <w:szCs w:val="24"/>
              </w:rPr>
              <w:t>01/09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ώρα </w:t>
            </w:r>
            <w:r w:rsidR="00E33636">
              <w:rPr>
                <w:rFonts w:ascii="Times New Roman" w:eastAsia="Times New Roman" w:hAnsi="Times New Roman"/>
                <w:sz w:val="24"/>
                <w:szCs w:val="24"/>
              </w:rPr>
              <w:t>16:00-18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μμ.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Οι φοιτητές/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θα πρέπει να απαντήσουν στα ερωτήματα που θα τους διαμοιραστούν κατά την εξέταση. 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</w:t>
      </w:r>
      <w:r w:rsidR="001175FD">
        <w:rPr>
          <w:sz w:val="18"/>
        </w:rPr>
        <w:lastRenderedPageBreak/>
        <w:t xml:space="preserve">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C9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193894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52937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42F64"/>
    <w:rsid w:val="00B5454F"/>
    <w:rsid w:val="00C05CF0"/>
    <w:rsid w:val="00C55375"/>
    <w:rsid w:val="00C94B5E"/>
    <w:rsid w:val="00D44250"/>
    <w:rsid w:val="00D77AB4"/>
    <w:rsid w:val="00DB4C15"/>
    <w:rsid w:val="00DC641B"/>
    <w:rsid w:val="00DC6C48"/>
    <w:rsid w:val="00E0775A"/>
    <w:rsid w:val="00E33636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ES </cp:lastModifiedBy>
  <cp:revision>2</cp:revision>
  <cp:lastPrinted>2020-06-05T05:37:00Z</cp:lastPrinted>
  <dcterms:created xsi:type="dcterms:W3CDTF">2021-08-29T09:32:00Z</dcterms:created>
  <dcterms:modified xsi:type="dcterms:W3CDTF">2021-08-29T09:32:00Z</dcterms:modified>
</cp:coreProperties>
</file>